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60C6" w14:textId="77777777"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CS"/>
        </w:rPr>
        <w:tab/>
      </w:r>
    </w:p>
    <w:p w14:paraId="5FE48A78" w14:textId="60B28E1E" w:rsidR="002937D8" w:rsidRPr="00E57A35" w:rsidRDefault="002937D8" w:rsidP="002937D8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Уговора о суфинансирању програма енергетске санације породичних кућа и станова који спроводи град</w:t>
      </w:r>
      <w:r>
        <w:rPr>
          <w:color w:val="auto"/>
          <w:lang w:val="sr-Cyrl-CS"/>
        </w:rPr>
        <w:t xml:space="preserve"> Вршацбр. 401-40/2024-</w:t>
      </w:r>
      <w:r>
        <w:rPr>
          <w:color w:val="auto"/>
        </w:rPr>
        <w:t xml:space="preserve">I-01 </w:t>
      </w:r>
      <w:r>
        <w:rPr>
          <w:color w:val="auto"/>
          <w:lang w:val="sr-Cyrl-RS"/>
        </w:rPr>
        <w:t>од 16.05.2024 године</w:t>
      </w:r>
      <w:r w:rsidRPr="1DB9880B">
        <w:rPr>
          <w:color w:val="auto"/>
          <w:lang w:val="sr-Cyrl-CS"/>
        </w:rPr>
        <w:t>, 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Србији“, Јавног позива за учешће директних корисника (привредних субјеката) у спровођењу мера енергетске санације  породичних кућа и станова на територији града</w:t>
      </w:r>
      <w:r>
        <w:rPr>
          <w:color w:val="auto"/>
          <w:lang w:val="sr-Cyrl-CS"/>
        </w:rPr>
        <w:t xml:space="preserve"> Вршца,</w:t>
      </w:r>
      <w:r w:rsidRPr="1DB9880B">
        <w:rPr>
          <w:lang w:val="sr-Cyrl-CS"/>
        </w:rPr>
        <w:t xml:space="preserve"> </w:t>
      </w:r>
      <w:r>
        <w:rPr>
          <w:color w:val="auto"/>
          <w:szCs w:val="24"/>
          <w:lang w:val="sr-Cyrl-CS"/>
        </w:rPr>
        <w:t>број 06.2-10/2023-</w:t>
      </w:r>
      <w:r>
        <w:rPr>
          <w:color w:val="auto"/>
          <w:szCs w:val="24"/>
        </w:rPr>
        <w:t xml:space="preserve">III-01 </w:t>
      </w:r>
      <w:r>
        <w:rPr>
          <w:color w:val="auto"/>
          <w:szCs w:val="24"/>
          <w:lang w:val="sr-Cyrl-RS"/>
        </w:rPr>
        <w:t>од</w:t>
      </w:r>
      <w:r>
        <w:rPr>
          <w:color w:val="auto"/>
          <w:szCs w:val="24"/>
        </w:rPr>
        <w:t xml:space="preserve"> 30.</w:t>
      </w:r>
      <w:r>
        <w:rPr>
          <w:color w:val="auto"/>
          <w:szCs w:val="24"/>
          <w:lang w:val="sr-Cyrl-RS"/>
        </w:rPr>
        <w:t xml:space="preserve"> августа </w:t>
      </w:r>
      <w:r>
        <w:rPr>
          <w:color w:val="auto"/>
          <w:szCs w:val="24"/>
        </w:rPr>
        <w:t>2023</w:t>
      </w:r>
      <w:r>
        <w:rPr>
          <w:color w:val="auto"/>
          <w:szCs w:val="24"/>
          <w:lang w:val="sr-Cyrl-RS"/>
        </w:rPr>
        <w:t xml:space="preserve"> године</w:t>
      </w:r>
      <w:r w:rsidRPr="003F3D36">
        <w:rPr>
          <w:color w:val="auto"/>
          <w:lang w:val="sr-Cyrl-CS"/>
        </w:rPr>
        <w:t xml:space="preserve"> и одлуке града</w:t>
      </w:r>
      <w:r>
        <w:rPr>
          <w:color w:val="auto"/>
          <w:lang w:val="sr-Cyrl-CS"/>
        </w:rPr>
        <w:t xml:space="preserve"> Вршца </w:t>
      </w:r>
      <w:r w:rsidRPr="003F3D36">
        <w:rPr>
          <w:color w:val="auto"/>
          <w:lang w:val="sr-Cyrl-CS"/>
        </w:rPr>
        <w:t>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града</w:t>
      </w:r>
      <w:r>
        <w:rPr>
          <w:color w:val="auto"/>
          <w:lang w:val="sr-Cyrl-CS"/>
        </w:rPr>
        <w:t xml:space="preserve"> Вршац</w:t>
      </w:r>
      <w:r w:rsidRPr="003F3D36">
        <w:rPr>
          <w:color w:val="auto"/>
          <w:lang w:val="sr-Cyrl-CS"/>
        </w:rPr>
        <w:t xml:space="preserve"> број</w:t>
      </w:r>
      <w:r w:rsidR="00944D98">
        <w:rPr>
          <w:color w:val="auto"/>
          <w:lang w:val="sr-Cyrl-CS"/>
        </w:rPr>
        <w:t xml:space="preserve"> 06.2- 30/</w:t>
      </w:r>
      <w:r w:rsidR="00944D98">
        <w:rPr>
          <w:color w:val="auto"/>
          <w:szCs w:val="24"/>
          <w:lang w:val="sr-Cyrl-CS"/>
        </w:rPr>
        <w:t>2024-</w:t>
      </w:r>
      <w:r w:rsidR="00944D98">
        <w:rPr>
          <w:color w:val="auto"/>
          <w:szCs w:val="24"/>
        </w:rPr>
        <w:t xml:space="preserve">III-01 </w:t>
      </w:r>
      <w:r w:rsidRPr="00944D98">
        <w:rPr>
          <w:color w:val="auto"/>
          <w:lang w:val="sr-Cyrl-CS"/>
        </w:rPr>
        <w:t xml:space="preserve">од  </w:t>
      </w:r>
      <w:r w:rsidR="00944D98">
        <w:rPr>
          <w:color w:val="auto"/>
          <w:lang w:val="sr-Cyrl-CS"/>
        </w:rPr>
        <w:t>01.07.2024 године</w:t>
      </w:r>
      <w:r w:rsidRPr="00944D98">
        <w:rPr>
          <w:color w:val="auto"/>
          <w:lang w:val="sr-Cyrl-CS"/>
        </w:rPr>
        <w:t xml:space="preserve">,  </w:t>
      </w:r>
      <w:r w:rsidRPr="003F3D36">
        <w:rPr>
          <w:color w:val="auto"/>
          <w:lang w:val="sr-Cyrl-CS"/>
        </w:rPr>
        <w:t>објављује се</w:t>
      </w:r>
      <w:r>
        <w:rPr>
          <w:color w:val="auto"/>
          <w:lang w:val="sr-Latn-CS"/>
        </w:rPr>
        <w:t>,</w:t>
      </w:r>
      <w:r w:rsidRPr="1DB9880B">
        <w:rPr>
          <w:color w:val="auto"/>
          <w:lang w:val="sr-Cyrl-CS"/>
        </w:rPr>
        <w:t xml:space="preserve">  </w:t>
      </w:r>
    </w:p>
    <w:p w14:paraId="346D044F" w14:textId="77777777"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 w:eastAsia="en-US"/>
        </w:rPr>
      </w:pPr>
    </w:p>
    <w:p w14:paraId="554B0CDC" w14:textId="77777777"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3B393CAC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14:paraId="1616D0C3" w14:textId="699977B5"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F4D78" w:rsidRPr="00E57A35">
        <w:rPr>
          <w:b/>
          <w:bCs/>
          <w:color w:val="auto"/>
          <w:szCs w:val="24"/>
        </w:rPr>
        <w:t xml:space="preserve"> на територији град</w:t>
      </w:r>
      <w:r w:rsidR="009F509E" w:rsidRPr="00E57A35">
        <w:rPr>
          <w:b/>
          <w:bCs/>
          <w:color w:val="auto"/>
          <w:szCs w:val="24"/>
          <w:lang w:val="sr-Cyrl-RS"/>
        </w:rPr>
        <w:t>а</w:t>
      </w:r>
      <w:r w:rsidR="002937D8">
        <w:rPr>
          <w:b/>
          <w:bCs/>
          <w:color w:val="auto"/>
          <w:szCs w:val="24"/>
          <w:lang w:val="sr-Cyrl-RS"/>
        </w:rPr>
        <w:t xml:space="preserve"> Вршца </w:t>
      </w:r>
      <w:r w:rsidR="00EF4D78" w:rsidRPr="00E57A35">
        <w:rPr>
          <w:b/>
          <w:bCs/>
          <w:color w:val="auto"/>
          <w:szCs w:val="24"/>
        </w:rPr>
        <w:t>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EF4D78" w:rsidRPr="00E57A35">
        <w:rPr>
          <w:b/>
          <w:bCs/>
          <w:color w:val="auto"/>
          <w:szCs w:val="24"/>
        </w:rPr>
        <w:t>. годину</w:t>
      </w:r>
    </w:p>
    <w:p w14:paraId="04538A55" w14:textId="77777777"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13EE88EB" w14:textId="77777777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</w:p>
    <w:p w14:paraId="41074F07" w14:textId="3A1FC053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>Јавни позив за суфинансирање мера енергетске санације породичних кућа и станова на територији града</w:t>
      </w:r>
      <w:r w:rsidR="002937D8">
        <w:rPr>
          <w:color w:val="auto"/>
          <w:szCs w:val="24"/>
          <w:lang w:val="sr-Cyrl-RS"/>
        </w:rPr>
        <w:t xml:space="preserve"> Вршца</w:t>
      </w:r>
      <w:r w:rsidR="00BE1D53" w:rsidRPr="00E57A35">
        <w:rPr>
          <w:color w:val="auto"/>
          <w:szCs w:val="24"/>
          <w:lang w:val="sr-Cyrl-RS"/>
        </w:rPr>
        <w:t xml:space="preserve"> за 202</w:t>
      </w:r>
      <w:r w:rsidR="003220A1">
        <w:rPr>
          <w:color w:val="auto"/>
          <w:szCs w:val="24"/>
          <w:lang w:val="sr-Cyrl-RS"/>
        </w:rPr>
        <w:t>4</w:t>
      </w:r>
      <w:r w:rsidR="00BE1D53" w:rsidRPr="00E57A35">
        <w:rPr>
          <w:color w:val="auto"/>
          <w:szCs w:val="24"/>
          <w:lang w:val="sr-Cyrl-RS"/>
        </w:rPr>
        <w:t>. годину</w:t>
      </w:r>
      <w:r w:rsidRPr="00E57A35">
        <w:rPr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2A224A50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</w:t>
      </w:r>
      <w:r w:rsidR="002937D8" w:rsidRPr="002937D8">
        <w:rPr>
          <w:color w:val="auto"/>
          <w:szCs w:val="24"/>
          <w:lang w:val="sr-Cyrl-RS"/>
        </w:rPr>
        <w:t xml:space="preserve"> </w:t>
      </w:r>
      <w:r w:rsidR="002937D8">
        <w:rPr>
          <w:color w:val="auto"/>
          <w:szCs w:val="24"/>
          <w:lang w:val="sr-Cyrl-RS"/>
        </w:rPr>
        <w:t>Вршца.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59ACE5C6"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  <w:lang w:val="sr-Cyrl-CS"/>
        </w:rPr>
        <w:t xml:space="preserve"> </w:t>
      </w:r>
      <w:r w:rsidRPr="51FD7997">
        <w:rPr>
          <w:rFonts w:eastAsia="Calibri"/>
          <w:color w:val="auto"/>
          <w:lang w:val="en-US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14:paraId="22FF8471" w14:textId="5176F258"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40DCB1A9"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39DC2DDC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2A19B108" w14:textId="2B449A8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0465AC75"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13B81B1E"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lastRenderedPageBreak/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DC30E6E" w14:textId="19EAF26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14:paraId="0F0D406B" w14:textId="494B7EB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02AE1878" w14:textId="77777777" w:rsidR="004E4069" w:rsidRDefault="004E406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1A0C728A" w:rsidR="007417C9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07116ACD" w14:textId="77777777" w:rsidR="00D67A54" w:rsidRPr="008C348D" w:rsidRDefault="00D67A54" w:rsidP="00D67A54">
      <w:pPr>
        <w:autoSpaceDE w:val="0"/>
        <w:autoSpaceDN w:val="0"/>
        <w:adjustRightInd w:val="0"/>
        <w:spacing w:after="0" w:line="240" w:lineRule="auto"/>
        <w:ind w:left="1068" w:firstLine="0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Cs/>
          <w:color w:val="auto"/>
          <w:szCs w:val="24"/>
          <w:lang w:val="sr-Cyrl-CS"/>
        </w:rPr>
        <w:t xml:space="preserve">Сертификат о енергетским својствима после санације обавезан је за објекте код којих су санацијом извршени радови на целокупном спољном омотачу објекта, као и за пакет мера. Сертификат/пасош се путем ЦЕОП-а, доставља надлежном органу уз сву неопходну документацију, а у складу са важећом законском регулативом. </w:t>
      </w:r>
    </w:p>
    <w:p w14:paraId="423AF943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bCs/>
          <w:color w:val="auto"/>
          <w:szCs w:val="24"/>
          <w:lang w:val="sr-Cyrl-CS"/>
        </w:rPr>
        <w:t xml:space="preserve">За меру под тачком </w:t>
      </w:r>
      <w:r w:rsidRPr="008C348D">
        <w:rPr>
          <w:rFonts w:eastAsia="Calibri"/>
          <w:b/>
          <w:bCs/>
          <w:color w:val="auto"/>
          <w:szCs w:val="24"/>
          <w:lang w:val="sr-Latn-CS"/>
        </w:rPr>
        <w:t>1)</w:t>
      </w:r>
      <w:r w:rsidRPr="008C348D">
        <w:rPr>
          <w:rFonts w:eastAsia="Calibri"/>
          <w:b/>
          <w:bCs/>
          <w:color w:val="auto"/>
          <w:szCs w:val="24"/>
          <w:lang w:val="sr-Cyrl-RS"/>
        </w:rPr>
        <w:t>,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замена спољних прозора и врата и других транспарентних елемената термичког омотача, примењује се члан 2 Правилник о посебној врсти објеката и посебној врсти радова за које није потребно прибављање акта надлежног органа, и члана 144 ЗПИ –текуће одржавање.</w:t>
      </w:r>
    </w:p>
    <w:p w14:paraId="6B79616B" w14:textId="77777777" w:rsidR="00D67A54" w:rsidRPr="008C348D" w:rsidRDefault="00D67A54" w:rsidP="00D67A54">
      <w:pPr>
        <w:pStyle w:val="ListParagraph"/>
        <w:numPr>
          <w:ilvl w:val="1"/>
          <w:numId w:val="27"/>
        </w:numPr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bCs/>
          <w:color w:val="auto"/>
          <w:szCs w:val="24"/>
          <w:lang w:val="sr-Cyrl-CS"/>
        </w:rPr>
        <w:t>Мере под тачком 2) и 3)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реализују се на основу одобрења за извођење радова по чл. 145 ЗПИ – инвестиционо одржавање и енергетска санација, а радови се изводе према документацији која садржи: технички опис, попис радова и елаборат енергетске ефикасности.</w:t>
      </w:r>
    </w:p>
    <w:p w14:paraId="2A9B3D29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bCs/>
          <w:color w:val="auto"/>
          <w:szCs w:val="24"/>
          <w:lang w:val="sr-Cyrl-CS"/>
        </w:rPr>
        <w:t>За мере из тачке 4) и 5)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уколико се ради замена постојећег грејача исте или мање снаге, није потребан акт надлежног органа. За уградњу новог грејача/котла веће снаге, потребан је акт надлежног органа којим се дозвољава извођење радова по члану 145 ЗПИ.</w:t>
      </w:r>
      <w:r w:rsidRPr="008C348D">
        <w:rPr>
          <w:rFonts w:eastAsia="Calibri"/>
          <w:color w:val="auto"/>
          <w:szCs w:val="24"/>
          <w:lang w:val="sr-Cyrl-CS" w:eastAsia="en-US"/>
        </w:rPr>
        <w:t xml:space="preserve"> </w:t>
      </w:r>
    </w:p>
    <w:p w14:paraId="208607F7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color w:val="auto"/>
          <w:szCs w:val="24"/>
          <w:lang w:val="sr-Cyrl-CS" w:eastAsia="en-US"/>
        </w:rPr>
        <w:t>За Меру из тачке 6)</w:t>
      </w:r>
      <w:r w:rsidRPr="008C348D">
        <w:rPr>
          <w:rFonts w:eastAsia="Calibri"/>
          <w:color w:val="auto"/>
          <w:szCs w:val="24"/>
          <w:lang w:val="sr-Cyrl-CS" w:eastAsia="en-US"/>
        </w:rPr>
        <w:t xml:space="preserve"> радови се реализују на основу </w:t>
      </w:r>
      <w:r w:rsidRPr="008C348D">
        <w:rPr>
          <w:rFonts w:eastAsia="Calibri"/>
          <w:bCs/>
          <w:color w:val="auto"/>
          <w:szCs w:val="24"/>
          <w:lang w:val="sr-Cyrl-CS"/>
        </w:rPr>
        <w:t>чл. 145 ЗПИ – инвестиционо одржавање, а према документацији која садржи технички опис и попис радова.</w:t>
      </w:r>
    </w:p>
    <w:p w14:paraId="50EC5FCD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color w:val="auto"/>
          <w:szCs w:val="24"/>
          <w:lang w:val="sr-Cyrl-CS" w:eastAsia="en-US"/>
        </w:rPr>
        <w:t xml:space="preserve">Мера 7) </w:t>
      </w:r>
      <w:r w:rsidRPr="008C348D">
        <w:rPr>
          <w:rFonts w:eastAsia="Calibri"/>
          <w:color w:val="auto"/>
          <w:szCs w:val="24"/>
          <w:lang w:val="sr-Cyrl-CS" w:eastAsia="en-US"/>
        </w:rPr>
        <w:t>замена постојеће мреже реализује се на основу члана 144 ЗПИ- радови за које није потребно прибављати акт надлежног органа - текуће одржавање. За радове на уградњи нове цевне мреже, грејних тела и пратећег прибора, неопходно је прибавити решење о одобрењу по члану 145 ЗПИ- инвестиционо одржавање.</w:t>
      </w:r>
    </w:p>
    <w:p w14:paraId="172429D8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bCs/>
          <w:color w:val="auto"/>
          <w:szCs w:val="24"/>
          <w:lang w:val="sr-Cyrl-CS"/>
        </w:rPr>
        <w:t>За меру из тачке 8)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</w:t>
      </w:r>
      <w:r w:rsidRPr="008C348D">
        <w:rPr>
          <w:rFonts w:eastAsia="Calibri"/>
          <w:color w:val="auto"/>
          <w:szCs w:val="24"/>
          <w:lang w:val="sr-Cyrl-CS"/>
        </w:rPr>
        <w:t>уградња соларних колектора у инсталацију за централну припрему потрошне топле воде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примењује се члан 2 Правилник о посебној врсти објеката и посебној врсти радова за које није потребно прибављати акт надлежног органа, и члана 144 ЗПИ –текуће одржавање.</w:t>
      </w:r>
    </w:p>
    <w:p w14:paraId="61660C4C" w14:textId="77777777" w:rsidR="00D67A54" w:rsidRPr="008C348D" w:rsidRDefault="00D67A54" w:rsidP="00D67A5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auto"/>
          <w:szCs w:val="24"/>
          <w:lang w:val="sr-Cyrl-CS"/>
        </w:rPr>
      </w:pPr>
      <w:r w:rsidRPr="008C348D">
        <w:rPr>
          <w:rFonts w:eastAsia="Calibri"/>
          <w:b/>
          <w:bCs/>
          <w:color w:val="auto"/>
          <w:szCs w:val="24"/>
          <w:lang w:val="sr-Cyrl-CS"/>
        </w:rPr>
        <w:t>За меру из тачке 9)</w:t>
      </w:r>
      <w:r w:rsidRPr="008C348D">
        <w:rPr>
          <w:rFonts w:eastAsia="Calibri"/>
          <w:bCs/>
          <w:color w:val="auto"/>
          <w:szCs w:val="24"/>
          <w:lang w:val="sr-Cyrl-CS"/>
        </w:rPr>
        <w:t xml:space="preserve"> ниво техничке документације садржан је  у самој мери, а израда Сертификата о енергетским својствима после санације, обавезан је уколико су извршени радови на целокупном спољном омотачу објекта.  </w:t>
      </w:r>
    </w:p>
    <w:p w14:paraId="22F2AEBB" w14:textId="77777777" w:rsidR="00D67A54" w:rsidRDefault="00D67A54" w:rsidP="00D67A54">
      <w:pPr>
        <w:autoSpaceDE w:val="0"/>
        <w:autoSpaceDN w:val="0"/>
        <w:adjustRightInd w:val="0"/>
        <w:spacing w:after="0" w:line="240" w:lineRule="auto"/>
        <w:ind w:left="714" w:firstLine="0"/>
        <w:contextualSpacing/>
        <w:rPr>
          <w:rFonts w:eastAsia="Calibri"/>
          <w:bCs/>
          <w:color w:val="FF0000"/>
          <w:szCs w:val="24"/>
          <w:lang w:val="sr-Cyrl-CS"/>
        </w:rPr>
      </w:pPr>
    </w:p>
    <w:p w14:paraId="094B85EA" w14:textId="622BDF51" w:rsidR="00715C4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1DB9880B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1DB9880B">
        <w:rPr>
          <w:lang w:val="sr-Cyrl-RS"/>
        </w:rPr>
        <w:t>е</w:t>
      </w:r>
      <w:r w:rsidRPr="1DB9880B">
        <w:rPr>
          <w:lang w:val="sr-Cyrl-RS"/>
        </w:rPr>
        <w:t xml:space="preserve"> под тачкама </w:t>
      </w:r>
      <w:r w:rsidR="00EF6729" w:rsidRPr="1DB9880B">
        <w:rPr>
          <w:lang w:val="sr-Cyrl-RS"/>
        </w:rPr>
        <w:t xml:space="preserve">4), </w:t>
      </w:r>
      <w:r w:rsidRPr="1DB9880B">
        <w:rPr>
          <w:lang w:val="sr-Cyrl-RS"/>
        </w:rPr>
        <w:t>6)</w:t>
      </w:r>
      <w:r w:rsidR="00F26A8D" w:rsidRPr="1DB9880B">
        <w:rPr>
          <w:lang w:val="sr-Cyrl-RS"/>
        </w:rPr>
        <w:t xml:space="preserve"> и</w:t>
      </w:r>
      <w:r w:rsidRPr="1DB9880B">
        <w:rPr>
          <w:lang w:val="sr-Cyrl-RS"/>
        </w:rPr>
        <w:t xml:space="preserve"> 7).</w:t>
      </w:r>
    </w:p>
    <w:p w14:paraId="4BD2F213" w14:textId="51215615"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  <w:lang w:val="sr-Cyrl-RS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77777777"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II.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  <w:r w:rsidRPr="00E57A35">
        <w:rPr>
          <w:bCs/>
          <w:color w:val="auto"/>
          <w:szCs w:val="24"/>
          <w:lang w:val="ru-RU"/>
        </w:rPr>
        <w:t xml:space="preserve"> </w:t>
      </w:r>
    </w:p>
    <w:p w14:paraId="30AEA1BC" w14:textId="77777777"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  <w:lang w:val="sr-Cyrl-RS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14:paraId="50A677A0" w14:textId="77777777"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77777777"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14:paraId="70C647A6" w14:textId="77777777"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63A9342F"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  <w:lang w:val="sr-Cyrl-RS"/>
        </w:rPr>
        <w:t>Укупн</w:t>
      </w:r>
      <w:r w:rsidR="00AD1B08">
        <w:rPr>
          <w:bCs/>
          <w:lang w:val="sr-Latn-CS"/>
        </w:rPr>
        <w:t>a</w:t>
      </w:r>
      <w:r w:rsidR="004E4069">
        <w:rPr>
          <w:bCs/>
          <w:lang w:val="sr-Cyrl-RS"/>
        </w:rPr>
        <w:t xml:space="preserve"> бесповратна средства које град</w:t>
      </w:r>
      <w:r w:rsidRPr="00E57A35">
        <w:rPr>
          <w:bCs/>
          <w:lang w:val="sr-Cyrl-RS"/>
        </w:rPr>
        <w:t xml:space="preserve"> заједно са средствима Министарства додељује путем овог </w:t>
      </w:r>
      <w:r w:rsidR="00BA2C24" w:rsidRPr="00E57A35">
        <w:rPr>
          <w:bCs/>
          <w:lang w:val="sr-Cyrl-RS"/>
        </w:rPr>
        <w:t>позива</w:t>
      </w:r>
      <w:r w:rsidRPr="00E57A35">
        <w:rPr>
          <w:bCs/>
          <w:lang w:val="sr-Cyrl-RS"/>
        </w:rPr>
        <w:t xml:space="preserve"> износе </w:t>
      </w:r>
      <w:r w:rsidR="002937D8">
        <w:rPr>
          <w:bCs/>
          <w:lang w:val="sr-Cyrl-RS"/>
        </w:rPr>
        <w:t xml:space="preserve">9 </w:t>
      </w:r>
      <w:r w:rsidR="00944D98">
        <w:rPr>
          <w:bCs/>
          <w:lang w:val="sr-Cyrl-RS"/>
        </w:rPr>
        <w:t xml:space="preserve">(девет) </w:t>
      </w:r>
      <w:r w:rsidRPr="00E57A35">
        <w:rPr>
          <w:bCs/>
          <w:lang w:val="sr-Cyrl-RS"/>
        </w:rPr>
        <w:t>милиона динара</w:t>
      </w:r>
      <w:r w:rsidR="00EB3DA0" w:rsidRPr="00E57A35">
        <w:rPr>
          <w:bCs/>
          <w:lang w:val="sr-Cyrl-CS"/>
        </w:rPr>
        <w:t>.</w:t>
      </w:r>
    </w:p>
    <w:p w14:paraId="2CE885A7" w14:textId="6BED5383" w:rsidR="00F26A8D" w:rsidRPr="00E57A35" w:rsidRDefault="00F26A8D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 w:rsidRPr="37CE7D14">
        <w:rPr>
          <w:lang w:val="sr-Cyrl-CS"/>
        </w:rPr>
        <w:lastRenderedPageBreak/>
        <w:t>Град</w:t>
      </w:r>
      <w:r w:rsidR="002A6B6E" w:rsidRPr="37CE7D14">
        <w:rPr>
          <w:lang w:val="sr-Latn-CS"/>
        </w:rPr>
        <w:t xml:space="preserve"> </w:t>
      </w:r>
      <w:r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>
        <w:t>e</w:t>
      </w:r>
      <w:r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4B087D0C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11F2A8F6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4CC07AEC" w14:textId="0E599117"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14:paraId="2F9A536C" w14:textId="5F4033B7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2CE94B89" w14:textId="428E2834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14:paraId="12F40676" w14:textId="77777777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lastRenderedPageBreak/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14:paraId="6A5FCCA1" w14:textId="77777777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14:paraId="7B0C1C08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C524C" w14:textId="4FB0AAC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CFDDB8" w14:textId="7434465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A364A1" w14:textId="147ABB5E"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77892F" w14:textId="4372B72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955A25" w14:textId="22E82663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488091F7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3DE6CB9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A1D3B6B" w14:textId="03DDA376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D5657A" w14:textId="3F155CB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63A0BE" w14:textId="319192AC"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D581A" w14:textId="38B495F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01C8E1" w14:textId="02E9270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2EAA13D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5C8C603D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054E2B9" w14:textId="2811F4D5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38B76A" w14:textId="458A0CC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9535EF" w14:textId="5C19301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4E3AB6" w14:textId="4D56041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583448" w14:textId="77E7F99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14:paraId="02687379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21D6EF4E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DA735FD" w14:textId="53EA470D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AA3E81" w14:textId="195EECC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9CB3F3" w14:textId="69AE366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CF231F" w14:textId="5B6907E5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7F321D" w14:textId="6760C22B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14:paraId="4C45EB2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7635272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02C0025" w14:textId="66B169E9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E1049FB" w14:textId="0605CDA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23186F" w14:textId="27AE637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529FA8" w14:textId="6829CA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15370D" w14:textId="264E6D0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14:paraId="6549C47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63A1D5A2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28D84C3" w14:textId="29B8B142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9A6E86" w14:textId="2D74E80D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68AD58" w14:textId="78F701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49D84D" w14:textId="37056AB4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2CBF2A" w14:textId="65DB5BAC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6A1A013B" w14:textId="77777777" w:rsidR="004E4069" w:rsidRDefault="004E4069" w:rsidP="000A3643">
      <w:pPr>
        <w:tabs>
          <w:tab w:val="left" w:pos="360"/>
        </w:tabs>
        <w:spacing w:after="0"/>
        <w:rPr>
          <w:color w:val="auto"/>
          <w:sz w:val="22"/>
          <w:lang w:val="sr-Cyrl-CS"/>
        </w:rPr>
      </w:pPr>
    </w:p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2B58BEFC" w:rsidR="00543ED3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sz w:val="22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10C8D707" w14:textId="77777777" w:rsidR="004E4069" w:rsidRPr="008C348D" w:rsidRDefault="004E4069" w:rsidP="004E4069">
      <w:pPr>
        <w:tabs>
          <w:tab w:val="left" w:pos="360"/>
        </w:tabs>
        <w:spacing w:after="0"/>
        <w:ind w:left="360" w:firstLine="0"/>
        <w:rPr>
          <w:color w:val="auto"/>
          <w:sz w:val="22"/>
          <w:lang w:val="sr-Cyrl-CS"/>
        </w:rPr>
      </w:pPr>
      <w:r w:rsidRPr="008C348D">
        <w:rPr>
          <w:color w:val="auto"/>
          <w:sz w:val="22"/>
          <w:lang w:val="sr-Cyrl-CS"/>
        </w:rPr>
        <w:t>***Сертификат о енергетским својствима после санације обавезан је за објекте код којих су</w:t>
      </w:r>
    </w:p>
    <w:p w14:paraId="03EDE8F6" w14:textId="77777777" w:rsidR="004E4069" w:rsidRPr="008C348D" w:rsidRDefault="004E4069" w:rsidP="004E4069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 w:rsidRPr="008C348D">
        <w:rPr>
          <w:color w:val="auto"/>
          <w:sz w:val="22"/>
          <w:lang w:val="sr-Cyrl-CS"/>
        </w:rPr>
        <w:t>санацијом  извршени радови на целокупном спољном омотачу објекта, као и код објеката код којих је урађен неки од пакета мера. Сертификат/пасош се путем ЦЕОП-а, доставља надлежном органу уз сву неопходну документацију, а у складу са важећом законском регулативом.</w:t>
      </w:r>
    </w:p>
    <w:p w14:paraId="590EC86F" w14:textId="77777777" w:rsidR="004E4069" w:rsidRDefault="004E4069" w:rsidP="004E4069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64539056" w:rsidR="008B4533" w:rsidRPr="00E57A35" w:rsidRDefault="004E406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>
        <w:rPr>
          <w:b/>
          <w:iCs/>
          <w:color w:val="auto"/>
          <w:szCs w:val="24"/>
          <w:lang w:val="sr-Cyrl-CS"/>
        </w:rPr>
        <w:t>Т</w:t>
      </w:r>
      <w:r w:rsidR="001E2D9D" w:rsidRPr="005F2821">
        <w:rPr>
          <w:b/>
          <w:iCs/>
          <w:color w:val="auto"/>
          <w:szCs w:val="24"/>
          <w:lang w:val="sr-Cyrl-CS"/>
        </w:rPr>
        <w:t>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 w:rsidR="001E2D9D">
        <w:rPr>
          <w:bCs/>
          <w:iCs/>
          <w:color w:val="auto"/>
          <w:szCs w:val="24"/>
          <w:lang w:val="sr-Cyrl-CS"/>
        </w:rPr>
        <w:t xml:space="preserve"> - </w:t>
      </w:r>
      <w:r w:rsidR="001E2D9D"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="001E2D9D" w:rsidRPr="005F2821">
        <w:rPr>
          <w:b/>
          <w:iCs/>
          <w:color w:val="auto"/>
          <w:szCs w:val="24"/>
          <w:lang w:val="sr-Cyrl-CS"/>
        </w:rPr>
        <w:t xml:space="preserve">за </w:t>
      </w:r>
      <w:r w:rsidR="001E2D9D"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lastRenderedPageBreak/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2901D8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4C37261F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6A399CD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4D4FEF31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0E97FA9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7775AA94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781DD84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BFF77B6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02A0391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57BAF521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0F89FDA4"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</w:t>
      </w:r>
      <w:r w:rsidR="00543ED3" w:rsidRPr="5856D2EA">
        <w:rPr>
          <w:color w:val="auto"/>
          <w:sz w:val="22"/>
          <w:lang w:val="sr-Cyrl-CS"/>
        </w:rPr>
        <w:t xml:space="preserve">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14:paraId="69C1A40D" w14:textId="77777777"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11D36A87" w14:textId="77777777"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42B6D014" w14:textId="77777777"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51234511" w14:textId="2DB0DCE2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2808552D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 xml:space="preserve"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</w:t>
      </w:r>
      <w:r w:rsidR="0099553D" w:rsidRPr="00E57A35">
        <w:rPr>
          <w:iCs/>
          <w:color w:val="auto"/>
          <w:lang w:val="sr-Cyrl-CS"/>
        </w:rPr>
        <w:lastRenderedPageBreak/>
        <w:t>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A65ED70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4D82FF14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24FA96D1" w14:textId="539BA027"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BF5404">
        <w:rPr>
          <w:color w:val="auto"/>
          <w:sz w:val="22"/>
          <w:lang w:val="sr-Cyrl-CS"/>
        </w:rPr>
        <w:t xml:space="preserve"> 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B77180">
        <w:rPr>
          <w:color w:val="auto"/>
          <w:sz w:val="22"/>
          <w:lang w:val="sr-Cyrl-CS"/>
        </w:rPr>
        <w:t xml:space="preserve"> 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14:paraId="79C70A2A" w14:textId="77777777" w:rsidR="002F2029" w:rsidRDefault="002F2029" w:rsidP="00EF4D78">
      <w:pPr>
        <w:spacing w:after="0" w:line="240" w:lineRule="auto"/>
        <w:ind w:left="0" w:firstLine="0"/>
        <w:jc w:val="center"/>
        <w:rPr>
          <w:noProof/>
          <w:color w:val="auto"/>
          <w:szCs w:val="24"/>
          <w:lang w:val="sr-Cyrl-RS"/>
        </w:rPr>
      </w:pPr>
    </w:p>
    <w:p w14:paraId="54B1F09D" w14:textId="77777777" w:rsidR="002F2029" w:rsidRDefault="002F2029" w:rsidP="00EF4D78">
      <w:pPr>
        <w:spacing w:after="0" w:line="240" w:lineRule="auto"/>
        <w:ind w:left="0" w:firstLine="0"/>
        <w:jc w:val="center"/>
        <w:rPr>
          <w:noProof/>
          <w:color w:val="auto"/>
          <w:szCs w:val="24"/>
          <w:lang w:val="sr-Cyrl-RS"/>
        </w:rPr>
      </w:pPr>
    </w:p>
    <w:p w14:paraId="7E09C371" w14:textId="280D4B6E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lastRenderedPageBreak/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77777777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3146C180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AE1543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14:paraId="6EDD7EDB" w14:textId="1BD6CB0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45C4C636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lastRenderedPageBreak/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0CE64A8F"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</w:t>
      </w:r>
      <w:r w:rsidR="61670568" w:rsidRPr="32DCF864">
        <w:rPr>
          <w:color w:val="auto"/>
          <w:lang w:val="sr-Cyrl-CS"/>
        </w:rPr>
        <w:t xml:space="preserve"> </w:t>
      </w:r>
      <w:r w:rsidRPr="32DCF864">
        <w:rPr>
          <w:color w:val="auto"/>
          <w:lang w:val="sr-Cyrl-CS"/>
        </w:rPr>
        <w:t>са листе директних корисника (привредних субј</w:t>
      </w:r>
      <w:r w:rsidR="002F2029">
        <w:rPr>
          <w:color w:val="auto"/>
          <w:lang w:val="sr-Cyrl-CS"/>
        </w:rPr>
        <w:t>еката) коју је објавио Град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  <w:lang w:val="en-US"/>
        </w:rPr>
        <w:t>I.</w:t>
      </w:r>
      <w:r w:rsidRPr="32DCF864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7A7CEAD8"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EF4D78" w:rsidRPr="1DB9880B">
        <w:rPr>
          <w:color w:val="auto"/>
        </w:rPr>
        <w:t xml:space="preserve">страници </w:t>
      </w:r>
      <w:r w:rsidR="002937D8">
        <w:rPr>
          <w:color w:val="auto"/>
          <w:szCs w:val="24"/>
          <w:lang w:val="sr-Cyrl-RS"/>
        </w:rPr>
        <w:t>Вршца</w:t>
      </w:r>
      <w:r w:rsidR="002937D8" w:rsidRPr="1DB9880B">
        <w:rPr>
          <w:color w:val="auto"/>
        </w:rPr>
        <w:t xml:space="preserve"> </w:t>
      </w:r>
      <w:r w:rsidR="00EF4D78" w:rsidRPr="1DB9880B">
        <w:rPr>
          <w:color w:val="auto"/>
        </w:rPr>
        <w:t xml:space="preserve"> или на пријавници </w:t>
      </w:r>
      <w:r w:rsidR="00B12B62">
        <w:rPr>
          <w:color w:val="auto"/>
          <w:lang w:val="sr-Cyrl-RS"/>
        </w:rPr>
        <w:t>града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77777777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60857831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B60D95F" w14:textId="301AB273"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="002F2029">
        <w:rPr>
          <w:color w:val="auto"/>
          <w:szCs w:val="24"/>
          <w:lang w:val="sr-Cyrl-RS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8A671B" w:rsidRPr="1DB9880B">
        <w:rPr>
          <w:color w:val="auto"/>
          <w:lang w:val="sr-Cyrl-CS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14:paraId="4D800F17" w14:textId="0EAF9D22"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14:paraId="735F1662" w14:textId="2B8656DE" w:rsidR="00EF4D78" w:rsidRDefault="00EF4D78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>за суфинансирање мера енергетске санације породичних кућа и станова на територији града</w:t>
      </w:r>
      <w:r w:rsidR="002937D8" w:rsidRPr="002937D8">
        <w:rPr>
          <w:color w:val="auto"/>
          <w:szCs w:val="24"/>
          <w:lang w:val="sr-Cyrl-RS"/>
        </w:rPr>
        <w:t xml:space="preserve"> </w:t>
      </w:r>
      <w:r w:rsidR="002937D8">
        <w:rPr>
          <w:color w:val="auto"/>
          <w:szCs w:val="24"/>
          <w:lang w:val="sr-Cyrl-RS"/>
        </w:rPr>
        <w:t>Вршца</w:t>
      </w:r>
      <w:r w:rsidR="002937D8" w:rsidRPr="1DB9880B">
        <w:rPr>
          <w:color w:val="auto"/>
        </w:rPr>
        <w:t xml:space="preserve">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ОТВАРАТИ”, са пуном адресом пошиљаоца на полеђини коверте</w:t>
      </w:r>
      <w:r w:rsidR="001450C8" w:rsidRPr="001450C8">
        <w:rPr>
          <w:lang w:val="sr-Cyrl-RS"/>
        </w:rPr>
        <w:t xml:space="preserve"> </w:t>
      </w:r>
      <w:r w:rsidR="001450C8">
        <w:rPr>
          <w:lang w:val="sr-Cyrl-RS"/>
        </w:rPr>
        <w:t>на писарници или препоручено на адресу:</w:t>
      </w:r>
    </w:p>
    <w:p w14:paraId="1C54E830" w14:textId="77777777" w:rsidR="000C7DF1" w:rsidRPr="000C7DF1" w:rsidRDefault="000C7D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53B1172D" w14:textId="77777777" w:rsidR="000C7DF1" w:rsidRPr="00F5451A" w:rsidRDefault="000C7DF1" w:rsidP="000C7DF1">
      <w:pPr>
        <w:spacing w:after="0" w:line="240" w:lineRule="auto"/>
        <w:ind w:left="0" w:firstLine="0"/>
        <w:rPr>
          <w:color w:val="auto"/>
          <w:szCs w:val="24"/>
          <w:lang w:val="sr-Cyrl-RS"/>
        </w:rPr>
      </w:pPr>
      <w:r w:rsidRPr="00F5451A">
        <w:rPr>
          <w:color w:val="auto"/>
          <w:szCs w:val="24"/>
          <w:lang w:val="sr-Cyrl-RS"/>
        </w:rPr>
        <w:t>Град Вршац</w:t>
      </w:r>
    </w:p>
    <w:p w14:paraId="4BD2F7D5" w14:textId="77777777" w:rsidR="000C7DF1" w:rsidRPr="00F5451A" w:rsidRDefault="000C7DF1" w:rsidP="000C7DF1">
      <w:pPr>
        <w:spacing w:after="0" w:line="240" w:lineRule="auto"/>
        <w:ind w:left="0" w:firstLine="0"/>
        <w:rPr>
          <w:color w:val="auto"/>
          <w:szCs w:val="24"/>
          <w:lang w:val="sr-Cyrl-RS"/>
        </w:rPr>
      </w:pPr>
      <w:r w:rsidRPr="00F5451A">
        <w:rPr>
          <w:color w:val="auto"/>
          <w:szCs w:val="24"/>
          <w:lang w:val="sr-Cyrl-RS"/>
        </w:rPr>
        <w:t>Комисија за реализацију мера енергетске санације</w:t>
      </w:r>
    </w:p>
    <w:p w14:paraId="777A8217" w14:textId="77777777" w:rsidR="000C7DF1" w:rsidRPr="00F5451A" w:rsidRDefault="000C7DF1" w:rsidP="000C7DF1">
      <w:pPr>
        <w:spacing w:after="0" w:line="240" w:lineRule="auto"/>
        <w:ind w:left="0" w:firstLine="0"/>
        <w:rPr>
          <w:color w:val="auto"/>
          <w:szCs w:val="24"/>
          <w:lang w:val="sr-Cyrl-RS"/>
        </w:rPr>
      </w:pPr>
      <w:r w:rsidRPr="00F5451A">
        <w:rPr>
          <w:color w:val="auto"/>
          <w:szCs w:val="24"/>
          <w:lang w:val="sr-Cyrl-RS"/>
        </w:rPr>
        <w:t>Трг победе број 1</w:t>
      </w:r>
    </w:p>
    <w:p w14:paraId="31DD92C9" w14:textId="77777777" w:rsidR="000C7DF1" w:rsidRPr="00F5451A" w:rsidRDefault="000C7DF1" w:rsidP="000C7DF1">
      <w:pPr>
        <w:spacing w:after="0" w:line="240" w:lineRule="auto"/>
        <w:ind w:left="0" w:firstLine="0"/>
        <w:rPr>
          <w:color w:val="auto"/>
          <w:szCs w:val="24"/>
        </w:rPr>
      </w:pPr>
      <w:r w:rsidRPr="00F5451A">
        <w:rPr>
          <w:color w:val="auto"/>
          <w:szCs w:val="24"/>
          <w:lang w:val="sr-Cyrl-RS"/>
        </w:rPr>
        <w:t>26300 Вршац</w:t>
      </w:r>
    </w:p>
    <w:p w14:paraId="339C1305" w14:textId="77777777" w:rsidR="000C7DF1" w:rsidRDefault="000C7D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05927DD0" w14:textId="77777777" w:rsidR="000C7DF1" w:rsidRPr="000C7DF1" w:rsidRDefault="000C7D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55EF70F2" w14:textId="13B38097"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14:paraId="21EA9514" w14:textId="4521857E"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 xml:space="preserve">Све пријаве које се поднесу </w:t>
      </w:r>
      <w:r w:rsidRPr="00105F2A">
        <w:rPr>
          <w:color w:val="auto"/>
        </w:rPr>
        <w:t xml:space="preserve">пре </w:t>
      </w:r>
      <w:r w:rsidR="00105F2A">
        <w:rPr>
          <w:color w:val="auto"/>
        </w:rPr>
        <w:t>15.0</w:t>
      </w:r>
      <w:r w:rsidR="00114369">
        <w:rPr>
          <w:color w:val="auto"/>
        </w:rPr>
        <w:t>7</w:t>
      </w:r>
      <w:bookmarkStart w:id="6" w:name="_GoBack"/>
      <w:bookmarkEnd w:id="6"/>
      <w:r w:rsidR="00105F2A">
        <w:rPr>
          <w:color w:val="auto"/>
        </w:rPr>
        <w:t xml:space="preserve">.2024 </w:t>
      </w:r>
      <w:r w:rsidR="00105F2A">
        <w:rPr>
          <w:color w:val="auto"/>
          <w:lang w:val="sr-Cyrl-RS"/>
        </w:rPr>
        <w:t xml:space="preserve">године </w:t>
      </w:r>
      <w:r w:rsidRPr="00CA5128">
        <w:t>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14:paraId="3F65F443" w14:textId="25F3A7B4" w:rsidR="00EF4D78" w:rsidRPr="00332BEF" w:rsidRDefault="00F2767D" w:rsidP="00FF6B2F">
      <w:pPr>
        <w:spacing w:after="0" w:line="240" w:lineRule="auto"/>
        <w:ind w:left="0" w:firstLine="0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332BEF">
        <w:rPr>
          <w:color w:val="auto"/>
          <w:lang w:val="sr-Cyrl-RS"/>
        </w:rPr>
        <w:t>013/800-534</w:t>
      </w:r>
      <w:r w:rsidR="00332BEF" w:rsidRPr="00E57A35">
        <w:rPr>
          <w:color w:val="auto"/>
          <w:szCs w:val="24"/>
        </w:rPr>
        <w:t xml:space="preserve"> и електронску адресу: e-mail: </w:t>
      </w:r>
      <w:r w:rsidR="00332BEF">
        <w:rPr>
          <w:color w:val="auto"/>
        </w:rPr>
        <w:t>ostupar</w:t>
      </w:r>
      <w:r w:rsidR="00332BEF">
        <w:rPr>
          <w:color w:val="auto"/>
          <w:lang w:val="en-US"/>
        </w:rPr>
        <w:t>@vrsac.org.rs</w:t>
      </w:r>
      <w:r w:rsidR="00332BEF">
        <w:rPr>
          <w:color w:val="auto"/>
          <w:lang w:val="sr-Cyrl-RS"/>
        </w:rPr>
        <w:t>.</w:t>
      </w:r>
    </w:p>
    <w:p w14:paraId="45587991" w14:textId="77777777"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14:paraId="63A5ADC7" w14:textId="63F7AFA8" w:rsidR="002F2029" w:rsidRDefault="00EF4D78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 xml:space="preserve">Сва питања и одговори биће објављени на интернет страници </w:t>
      </w:r>
      <w:r w:rsidR="002F2029">
        <w:rPr>
          <w:color w:val="auto"/>
          <w:szCs w:val="24"/>
          <w:lang w:val="sr-Cyrl-RS"/>
        </w:rPr>
        <w:t>Града.</w:t>
      </w:r>
    </w:p>
    <w:p w14:paraId="6E3C9799" w14:textId="73497418"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 xml:space="preserve"> </w:t>
      </w:r>
    </w:p>
    <w:p w14:paraId="3CA7B10A" w14:textId="77777777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77777777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78DACEFA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lastRenderedPageBreak/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77777777"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14:paraId="7B6AE2BD" w14:textId="6CCC7CE3"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6C8A84E1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града/општине у року од 8 дана од дана пријема одлуке по приговору из става 2. овог члана и о томе обавести ЈИП.</w:t>
      </w:r>
    </w:p>
    <w:p w14:paraId="275B29F2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Градско/Општинско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3514394F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градског већа је коначна.</w:t>
      </w:r>
    </w:p>
    <w:p w14:paraId="0F0DEFF9" w14:textId="4FBB08B6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580E6B" w:rsidRPr="00580E6B">
        <w:t xml:space="preserve"> </w:t>
      </w:r>
      <w:hyperlink r:id="rId12" w:history="1">
        <w:r w:rsidR="00580E6B" w:rsidRPr="000E0013">
          <w:rPr>
            <w:rStyle w:val="Hyperlink"/>
            <w:szCs w:val="24"/>
          </w:rPr>
          <w:t>http://www.vrsac.com/</w:t>
        </w:r>
      </w:hyperlink>
      <w:r w:rsidR="00580E6B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77777777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637A1CC7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  <w:lang w:val="sr-Cyrl-RS"/>
        </w:rPr>
        <w:t>;</w:t>
      </w:r>
    </w:p>
    <w:p w14:paraId="6CE9C2CB" w14:textId="79C42CD3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  <w:lang w:val="sr-Cyrl-RS"/>
        </w:rPr>
        <w:t xml:space="preserve"> и</w:t>
      </w:r>
    </w:p>
    <w:p w14:paraId="3F3C1B96" w14:textId="22804695"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00A80F98">
        <w:rPr>
          <w:color w:val="auto"/>
          <w:lang w:val="sr-Cyrl-RS"/>
        </w:rPr>
        <w:t>„Жалбени механизам за Пројекат“.</w:t>
      </w:r>
    </w:p>
    <w:p w14:paraId="5EE2E6D9" w14:textId="188100ED" w:rsidR="001A2204" w:rsidRPr="00E57A35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  <w:lang w:val="sr-Cyrl-RS"/>
        </w:rPr>
        <w:t xml:space="preserve"> https://www.mre.gov.rs/tekst/2206/dokumenta.php</w:t>
      </w:r>
      <w:r w:rsidRPr="1DB9880B">
        <w:rPr>
          <w:color w:val="auto"/>
          <w:lang w:val="sr-Cyrl-RS"/>
        </w:rPr>
        <w:t>).</w:t>
      </w:r>
    </w:p>
    <w:p w14:paraId="41BEEB79" w14:textId="77777777"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1A2204" w:rsidRPr="00E57A35">
        <w:rPr>
          <w:color w:val="auto"/>
          <w:szCs w:val="24"/>
          <w:lang w:val="sr-Cyrl-RS"/>
        </w:rPr>
        <w:t>општине/града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14:paraId="545C5639" w14:textId="3F8AE70B" w:rsidR="009053E0" w:rsidRPr="00E57A35" w:rsidRDefault="002937D8" w:rsidP="00C86418">
      <w:pPr>
        <w:spacing w:after="0" w:line="240" w:lineRule="auto"/>
        <w:ind w:firstLine="612"/>
        <w:rPr>
          <w:color w:val="auto"/>
          <w:lang w:val="sr-Cyrl-RS"/>
        </w:rPr>
      </w:pPr>
      <w:r>
        <w:rPr>
          <w:color w:val="auto"/>
          <w:szCs w:val="24"/>
          <w:lang w:val="sr-Cyrl-RS"/>
        </w:rPr>
        <w:t>Г</w:t>
      </w:r>
      <w:r w:rsidR="001A2204" w:rsidRPr="00E57A35">
        <w:rPr>
          <w:color w:val="auto"/>
          <w:szCs w:val="24"/>
          <w:lang w:val="sr-Cyrl-RS"/>
        </w:rPr>
        <w:t>рад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14:paraId="7564BDAB" w14:textId="512B4DBB"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</w:t>
      </w:r>
      <w:r w:rsidR="00DE5E4D" w:rsidRPr="00E57A35">
        <w:rPr>
          <w:color w:val="auto"/>
          <w:szCs w:val="24"/>
          <w:lang w:val="sr-Cyrl-CS"/>
        </w:rPr>
        <w:lastRenderedPageBreak/>
        <w:t>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14:paraId="34CD37B7" w14:textId="77777777"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14:paraId="4280A59B" w14:textId="77777777" w:rsidR="00497FF0" w:rsidRDefault="00497FF0" w:rsidP="00EF4D78">
      <w:pPr>
        <w:rPr>
          <w:color w:val="auto"/>
          <w:szCs w:val="24"/>
          <w:lang w:val="sr-Cyrl-RS"/>
        </w:rPr>
      </w:pPr>
    </w:p>
    <w:sectPr w:rsidR="00497FF0" w:rsidSect="00D31AE6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CC03E" w14:textId="77777777" w:rsidR="00836158" w:rsidRDefault="00836158">
      <w:pPr>
        <w:spacing w:after="0" w:line="240" w:lineRule="auto"/>
      </w:pPr>
      <w:r>
        <w:separator/>
      </w:r>
    </w:p>
  </w:endnote>
  <w:endnote w:type="continuationSeparator" w:id="0">
    <w:p w14:paraId="57D65986" w14:textId="77777777" w:rsidR="00836158" w:rsidRDefault="00836158">
      <w:pPr>
        <w:spacing w:after="0" w:line="240" w:lineRule="auto"/>
      </w:pPr>
      <w:r>
        <w:continuationSeparator/>
      </w:r>
    </w:p>
  </w:endnote>
  <w:endnote w:type="continuationNotice" w:id="1">
    <w:p w14:paraId="794F0142" w14:textId="77777777" w:rsidR="00836158" w:rsidRDefault="00836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817C0" w14:textId="77777777" w:rsidR="00836158" w:rsidRDefault="00836158">
      <w:pPr>
        <w:spacing w:after="0" w:line="240" w:lineRule="auto"/>
      </w:pPr>
      <w:r>
        <w:separator/>
      </w:r>
    </w:p>
  </w:footnote>
  <w:footnote w:type="continuationSeparator" w:id="0">
    <w:p w14:paraId="310367B5" w14:textId="77777777" w:rsidR="00836158" w:rsidRDefault="00836158">
      <w:pPr>
        <w:spacing w:after="0" w:line="240" w:lineRule="auto"/>
      </w:pPr>
      <w:r>
        <w:continuationSeparator/>
      </w:r>
    </w:p>
  </w:footnote>
  <w:footnote w:type="continuationNotice" w:id="1">
    <w:p w14:paraId="3AC6E166" w14:textId="77777777" w:rsidR="00836158" w:rsidRDefault="00836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D755FD"/>
    <w:multiLevelType w:val="hybridMultilevel"/>
    <w:tmpl w:val="0DAE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6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19"/>
  </w:num>
  <w:num w:numId="5">
    <w:abstractNumId w:val="26"/>
  </w:num>
  <w:num w:numId="6">
    <w:abstractNumId w:val="7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20"/>
  </w:num>
  <w:num w:numId="13">
    <w:abstractNumId w:val="1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8"/>
  </w:num>
  <w:num w:numId="23">
    <w:abstractNumId w:val="25"/>
  </w:num>
  <w:num w:numId="24">
    <w:abstractNumId w:val="11"/>
  </w:num>
  <w:num w:numId="25">
    <w:abstractNumId w:val="8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C7DF1"/>
    <w:rsid w:val="000D3ADA"/>
    <w:rsid w:val="000E09BD"/>
    <w:rsid w:val="000E76D5"/>
    <w:rsid w:val="000F0DCF"/>
    <w:rsid w:val="000F4400"/>
    <w:rsid w:val="000F5269"/>
    <w:rsid w:val="00104F94"/>
    <w:rsid w:val="00105F2A"/>
    <w:rsid w:val="001123D5"/>
    <w:rsid w:val="00114369"/>
    <w:rsid w:val="001206DC"/>
    <w:rsid w:val="00121C33"/>
    <w:rsid w:val="001230B1"/>
    <w:rsid w:val="001238BC"/>
    <w:rsid w:val="0012697B"/>
    <w:rsid w:val="001353DA"/>
    <w:rsid w:val="0014012E"/>
    <w:rsid w:val="00144C7F"/>
    <w:rsid w:val="001450C8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5F7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0CD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52D3E"/>
    <w:rsid w:val="00267587"/>
    <w:rsid w:val="002735AE"/>
    <w:rsid w:val="002742C6"/>
    <w:rsid w:val="00282C1C"/>
    <w:rsid w:val="00284799"/>
    <w:rsid w:val="002873F3"/>
    <w:rsid w:val="002901D8"/>
    <w:rsid w:val="002937D8"/>
    <w:rsid w:val="00297084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2029"/>
    <w:rsid w:val="002F5B46"/>
    <w:rsid w:val="002F7625"/>
    <w:rsid w:val="00314A64"/>
    <w:rsid w:val="0031597B"/>
    <w:rsid w:val="0031733B"/>
    <w:rsid w:val="003220A1"/>
    <w:rsid w:val="00332BEF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3F604D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543E2"/>
    <w:rsid w:val="00460493"/>
    <w:rsid w:val="00466B7E"/>
    <w:rsid w:val="004708EF"/>
    <w:rsid w:val="004714B6"/>
    <w:rsid w:val="00475910"/>
    <w:rsid w:val="00475E64"/>
    <w:rsid w:val="00487E9C"/>
    <w:rsid w:val="00490878"/>
    <w:rsid w:val="00497FF0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250"/>
    <w:rsid w:val="004D5315"/>
    <w:rsid w:val="004D7F30"/>
    <w:rsid w:val="004D7FB0"/>
    <w:rsid w:val="004E4069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7278"/>
    <w:rsid w:val="00580E6B"/>
    <w:rsid w:val="005B2436"/>
    <w:rsid w:val="005B303A"/>
    <w:rsid w:val="005B652D"/>
    <w:rsid w:val="005C1AF1"/>
    <w:rsid w:val="005C6DB4"/>
    <w:rsid w:val="005D063B"/>
    <w:rsid w:val="005D0D05"/>
    <w:rsid w:val="005D5E5C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13427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5A0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36158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348D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4D98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4B70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27A5C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6F4D"/>
    <w:rsid w:val="00B12B62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C63DD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67A54"/>
    <w:rsid w:val="00D71706"/>
    <w:rsid w:val="00D80324"/>
    <w:rsid w:val="00D807A1"/>
    <w:rsid w:val="00D93523"/>
    <w:rsid w:val="00D94FDC"/>
    <w:rsid w:val="00DA0997"/>
    <w:rsid w:val="00DA0D38"/>
    <w:rsid w:val="00DA246F"/>
    <w:rsid w:val="00DA5E66"/>
    <w:rsid w:val="00DA7667"/>
    <w:rsid w:val="00DB0627"/>
    <w:rsid w:val="00DB0D87"/>
    <w:rsid w:val="00DB2DAE"/>
    <w:rsid w:val="00DC00F9"/>
    <w:rsid w:val="00DC22F2"/>
    <w:rsid w:val="00DC29D7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D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rsac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BC92D-2AD0-46F6-94F0-A5E61FBC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Mira Rakanovic</cp:lastModifiedBy>
  <cp:revision>16</cp:revision>
  <dcterms:created xsi:type="dcterms:W3CDTF">2024-06-18T12:12:00Z</dcterms:created>
  <dcterms:modified xsi:type="dcterms:W3CDTF">2024-07-02T08:50:00Z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